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F17BA3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1A6B4E" w:rsidRPr="00F17BA3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  <w:r w:rsidRPr="00F17B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98ACD6F" wp14:editId="0CF81084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F17BA3" w:rsidRDefault="001A6B4E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1A6B4E" w:rsidRPr="00F17BA3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7BA3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1A6B4E" w:rsidRPr="00F17BA3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F17BA3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F17BA3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F17BA3">
        <w:rPr>
          <w:rFonts w:ascii="Arial" w:hAnsi="Arial" w:cs="Arial"/>
        </w:rPr>
        <w:t>Sukladno članku 39. Poslovnika o radu Gospodarsko-socijalnog vijeća i njegovih radnih tijela, a u vezi članka 30. Poslovnika, Povjerenstvo za zakonodavstvo, kolektivne pregovore i zaštitu prava je na 2</w:t>
      </w:r>
      <w:r w:rsidR="00CD7E70" w:rsidRPr="00F17BA3">
        <w:rPr>
          <w:rFonts w:ascii="Arial" w:hAnsi="Arial" w:cs="Arial"/>
        </w:rPr>
        <w:t>7</w:t>
      </w:r>
      <w:r w:rsidRPr="00F17BA3">
        <w:rPr>
          <w:rFonts w:ascii="Arial" w:hAnsi="Arial" w:cs="Arial"/>
        </w:rPr>
        <w:t xml:space="preserve">. sjednici održanoj </w:t>
      </w:r>
      <w:r w:rsidR="00CD7E70" w:rsidRPr="00F17BA3">
        <w:rPr>
          <w:rFonts w:ascii="Arial" w:hAnsi="Arial" w:cs="Arial"/>
        </w:rPr>
        <w:t>2</w:t>
      </w:r>
      <w:r w:rsidR="001470B5" w:rsidRPr="00F17BA3">
        <w:rPr>
          <w:rFonts w:ascii="Arial" w:hAnsi="Arial" w:cs="Arial"/>
        </w:rPr>
        <w:t>9. studenoga</w:t>
      </w:r>
      <w:r w:rsidRPr="00F17BA3">
        <w:rPr>
          <w:rFonts w:ascii="Arial" w:hAnsi="Arial" w:cs="Arial"/>
        </w:rPr>
        <w:t xml:space="preserve"> 2012. godine razmatralo</w:t>
      </w:r>
      <w:r w:rsidR="005E16AC" w:rsidRPr="00F17BA3">
        <w:rPr>
          <w:rFonts w:ascii="Arial" w:hAnsi="Arial" w:cs="Arial"/>
        </w:rPr>
        <w:t xml:space="preserve"> </w:t>
      </w:r>
      <w:r w:rsidR="00D81FF6" w:rsidRPr="00F17BA3">
        <w:rPr>
          <w:rFonts w:ascii="Arial" w:hAnsi="Arial" w:cs="Arial"/>
          <w:b/>
        </w:rPr>
        <w:t>Konačni prijedlog zakona o izmjenama i dopunama Kaznenog zakona.</w:t>
      </w:r>
    </w:p>
    <w:p w:rsidR="001A6B4E" w:rsidRPr="00F17BA3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F17BA3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F17BA3">
        <w:rPr>
          <w:rFonts w:ascii="Arial" w:hAnsi="Arial" w:cs="Arial"/>
        </w:rPr>
        <w:t xml:space="preserve">Na osnovi rasprave i izjašnjavanja pojedinih članova utvrđeno je sljedeće </w:t>
      </w:r>
    </w:p>
    <w:p w:rsidR="001A6B4E" w:rsidRPr="00F17BA3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F17BA3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BA3">
        <w:rPr>
          <w:rFonts w:ascii="Arial" w:hAnsi="Arial" w:cs="Arial"/>
          <w:b/>
          <w:sz w:val="22"/>
          <w:szCs w:val="22"/>
        </w:rPr>
        <w:t>MIŠLJENJE</w:t>
      </w:r>
    </w:p>
    <w:p w:rsidR="001A6B4E" w:rsidRPr="00F17BA3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CD7E70" w:rsidRPr="00F17BA3" w:rsidRDefault="00CD7E70" w:rsidP="00771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Povjerenstvo za zakonodavstvo, kolektivne pregovore i zaštitu prava podržava </w:t>
      </w:r>
      <w:r w:rsidR="008D48A3" w:rsidRPr="00F17BA3">
        <w:rPr>
          <w:rFonts w:ascii="Arial" w:hAnsi="Arial" w:cs="Arial"/>
          <w:sz w:val="22"/>
          <w:szCs w:val="22"/>
        </w:rPr>
        <w:t xml:space="preserve">Konačni prijedlog zakona o izmjenama i dopunama Kaznenog zakona, </w:t>
      </w:r>
      <w:r w:rsidR="00D81FF6" w:rsidRPr="00F17BA3">
        <w:rPr>
          <w:rFonts w:ascii="Arial" w:hAnsi="Arial" w:cs="Arial"/>
          <w:sz w:val="22"/>
          <w:szCs w:val="22"/>
        </w:rPr>
        <w:t>uz izdvojena mišljenja Hrvatske udruge poslodavaca i sindikalnih središnjica.</w:t>
      </w:r>
    </w:p>
    <w:p w:rsidR="00D81FF6" w:rsidRPr="00F17BA3" w:rsidRDefault="00D81FF6" w:rsidP="00771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FF6" w:rsidRPr="00F17BA3" w:rsidRDefault="00D81FF6" w:rsidP="00D81F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>I</w:t>
      </w:r>
      <w:r w:rsidRPr="00F17BA3">
        <w:rPr>
          <w:rFonts w:ascii="Arial" w:hAnsi="Arial" w:cs="Arial"/>
          <w:b/>
          <w:sz w:val="22"/>
          <w:szCs w:val="22"/>
        </w:rPr>
        <w:t>ZDVOJENO MIŠLJENJE HRVATSKE UDRUGE POSLODAVACA</w:t>
      </w:r>
    </w:p>
    <w:p w:rsidR="00D81FF6" w:rsidRPr="00F17BA3" w:rsidRDefault="00D81FF6" w:rsidP="00771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4E40" w:rsidRPr="00844E40" w:rsidRDefault="00844E40" w:rsidP="00844E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4E40">
        <w:rPr>
          <w:rFonts w:ascii="Arial" w:hAnsi="Arial" w:cs="Arial"/>
          <w:b/>
          <w:sz w:val="22"/>
          <w:szCs w:val="22"/>
        </w:rPr>
        <w:t>Hrvatska udruga poslodavaca ne podržava predloženu dopunu članka 132. stavka 3. Kaznenog zakona („Narodne novine“ br. 125/11), kako je to predloženo u članku 32. Konačnog prijedloga Zakona o izmjenama i dopunama Kaznenog zakona.</w:t>
      </w:r>
    </w:p>
    <w:p w:rsidR="00844E40" w:rsidRPr="00844E40" w:rsidRDefault="00844E40" w:rsidP="0084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40">
        <w:rPr>
          <w:rFonts w:ascii="Arial" w:hAnsi="Arial" w:cs="Arial"/>
          <w:sz w:val="22"/>
          <w:szCs w:val="22"/>
        </w:rPr>
        <w:t>Dodavanje uvjeta dostave obračuna o neisplati dospjelog iznosa plaće kako bi dokazao da je do neisplate došlo zbog nemogućnosti raspolaganja financijskim sredstvima na računu poslodavca ili nedostatka financijskih sredstava na računu poslodavca koji nisu nastali s ciljem izbjegavanja isplate plaće dovodi takvog poslodavca u dodatno otežavajuću situaciju.</w:t>
      </w:r>
    </w:p>
    <w:p w:rsidR="00844E40" w:rsidRDefault="00844E40" w:rsidP="0084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4E40" w:rsidRPr="00844E40" w:rsidRDefault="00844E40" w:rsidP="0084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40">
        <w:rPr>
          <w:rFonts w:ascii="Arial" w:hAnsi="Arial" w:cs="Arial"/>
          <w:sz w:val="22"/>
          <w:szCs w:val="22"/>
        </w:rPr>
        <w:t xml:space="preserve">Naime, u cilju zaštite onih poslodavaca koji su bez svoje krivnje došli u situaciju nemogućnosti isplate plaće iznosimo kako bi neispunjenje uvjeta dostave obračuna o neisplati dospjelog iznosa plaće, koje se opet može dogoditi bez krivnje poslodavca, dovelo tog poslodavca u situaciju da ne može dokazati svoju nevinost. Ovime bi se na indirektan način, zbog </w:t>
      </w:r>
      <w:proofErr w:type="spellStart"/>
      <w:r w:rsidRPr="00844E40">
        <w:rPr>
          <w:rFonts w:ascii="Arial" w:hAnsi="Arial" w:cs="Arial"/>
          <w:sz w:val="22"/>
          <w:szCs w:val="22"/>
        </w:rPr>
        <w:t>nedostave</w:t>
      </w:r>
      <w:proofErr w:type="spellEnd"/>
      <w:r w:rsidRPr="00844E40">
        <w:rPr>
          <w:rFonts w:ascii="Arial" w:hAnsi="Arial" w:cs="Arial"/>
          <w:sz w:val="22"/>
          <w:szCs w:val="22"/>
        </w:rPr>
        <w:t xml:space="preserve"> dokumentacije nekoga kažnjavalo kroz domenu kaznenog zakonodavstva koje je krajnje sredstvo prisile primjereno za povrede težih razmjera.</w:t>
      </w:r>
    </w:p>
    <w:p w:rsidR="00844E40" w:rsidRPr="00844E40" w:rsidRDefault="00844E40" w:rsidP="0084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40">
        <w:rPr>
          <w:rFonts w:ascii="Arial" w:hAnsi="Arial" w:cs="Arial"/>
          <w:sz w:val="22"/>
          <w:szCs w:val="22"/>
        </w:rPr>
        <w:t xml:space="preserve">S obzirom da je </w:t>
      </w:r>
      <w:proofErr w:type="spellStart"/>
      <w:r w:rsidRPr="00844E40">
        <w:rPr>
          <w:rFonts w:ascii="Arial" w:hAnsi="Arial" w:cs="Arial"/>
          <w:sz w:val="22"/>
          <w:szCs w:val="22"/>
        </w:rPr>
        <w:t>nedostava</w:t>
      </w:r>
      <w:proofErr w:type="spellEnd"/>
      <w:r w:rsidRPr="00844E40">
        <w:rPr>
          <w:rFonts w:ascii="Arial" w:hAnsi="Arial" w:cs="Arial"/>
          <w:sz w:val="22"/>
          <w:szCs w:val="22"/>
        </w:rPr>
        <w:t xml:space="preserve"> obračuna o neisplati dospjelog iznosa plaće već Zakonom o radu („Narodne novine“ br. 149/09, 61/11) sankcionirana kroz prekršajne odredbe, smatramo kako je sankcioniranje ove radnje kroz kazneno zakonodavstvo neprimjereno i opasno.</w:t>
      </w:r>
    </w:p>
    <w:p w:rsidR="00D81FF6" w:rsidRPr="00F17BA3" w:rsidRDefault="00D81FF6" w:rsidP="00771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FF6" w:rsidRPr="00F17BA3" w:rsidRDefault="00D81FF6" w:rsidP="00D81F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BA3">
        <w:rPr>
          <w:rFonts w:ascii="Arial" w:hAnsi="Arial" w:cs="Arial"/>
          <w:b/>
          <w:sz w:val="22"/>
          <w:szCs w:val="22"/>
        </w:rPr>
        <w:t>IZDVOJENO MIŠLJENJE SINDIKALNIH SREDIŠNJICA</w:t>
      </w:r>
    </w:p>
    <w:p w:rsidR="00D81FF6" w:rsidRPr="00F17BA3" w:rsidRDefault="00D81FF6" w:rsidP="00771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Sindikalne središnjice predlažu da se u Kaznenom zakonu (NN 125/11) članak 132. dopuni na način da se iza stavka 2. dodaje se novi stavak 3. koji glasi: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„(3) Kaznom iz stavka 1. ovog članka kaznit će se poslodavac koji u slučaju neisplate cijele ili dijela plaće, naknade plaće ili otpremnine, u propisanom roku radniku ne dostavi obračun iznosa koje je bio dužan isplatiti.“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lastRenderedPageBreak/>
        <w:t xml:space="preserve">Dosadašnji stavci 3., 4. i 5. postaju stavci 4., 5. i 6.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U dosadašnjem stavku 3. koji postaje stavak 4., na kraju rečenice točka se zamjenjuje zarezom te se dodaju riječi: „pod uvjetom da je poslodavac u propisanom roku radniku dostavio obračun iznosa plaće, naknade plaće ili otpremnine koji je bio dužan isplatiti.“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U dosadašnjem stavku 5. koji postaje stavak 6., iza riječi „osnovna plaća,“ dodaju se riječi: „naknada plaće, otpremnina“.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U dosadašnjem stavku 3. koji bi u slučaju da se gornji prijedlog usvoji postavo stavak 4. čija dopuna je sadržana u članku 32. Nacrta Prijedloga Zakona o izmjenama i dopunama Kaznenog zakona predlaže se iza riječi „plaće“ dodati zarez i riječi „naknade plaće i otpremnine“.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>OBRAZLOŽENJE :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Ovom dopunom propisuje se kaznena odgovornost za poslodavca koji u zakonom propisanom roku radniku ne dostavi obračun iznosa neisplaćene cijele ili dijela plaće, naknade plaće ili otpremnine koji je bio dužan isplatiti.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 xml:space="preserve">Pored toga, precizira se definicija izraza „plaća“ korištenog u ovoj odredbi, na način da se izričito propisuje da se pod plaćom pored ostalog podrazumijeva i naknada plaće koju je bio dužan isplatiti poslodavac, kao i otpremnina. </w:t>
      </w:r>
    </w:p>
    <w:p w:rsidR="00A1169B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1FF6" w:rsidRPr="00F17BA3" w:rsidRDefault="00A1169B" w:rsidP="00A116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7BA3">
        <w:rPr>
          <w:rFonts w:ascii="Arial" w:hAnsi="Arial" w:cs="Arial"/>
          <w:sz w:val="22"/>
          <w:szCs w:val="22"/>
        </w:rPr>
        <w:t>Uočili smo da prekršajna odgovornost poslodavca nije dostatna jer se velikom broju radnika ne izdaju obračuni u obliku ovršne isprave. Dugotrajnog postupka do izricanja i naplate zapriječene prekršajne novčane kazne nema odvraćajući karakter od počinjenja djela (nadzor nad poslodavcem od strane Državnog inspektorata, podnošenje prekršajnog naloga, postupak pred sudom, žalbeni postupak, velika opasnost od zastare).</w:t>
      </w: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844E40" w:rsidRPr="00F17BA3" w:rsidRDefault="00844E40" w:rsidP="001A6B4E">
      <w:pPr>
        <w:rPr>
          <w:rFonts w:ascii="Arial" w:hAnsi="Arial" w:cs="Arial"/>
          <w:sz w:val="22"/>
          <w:szCs w:val="22"/>
        </w:rPr>
      </w:pPr>
    </w:p>
    <w:p w:rsidR="001A6B4E" w:rsidRPr="00F17BA3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F17BA3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1A6B4E" w:rsidRPr="00F17BA3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Pr="00F17BA3" w:rsidRDefault="001A6B4E" w:rsidP="00F17BA3">
      <w:pPr>
        <w:tabs>
          <w:tab w:val="left" w:pos="7380"/>
        </w:tabs>
        <w:spacing w:line="276" w:lineRule="auto"/>
        <w:ind w:left="4956"/>
        <w:jc w:val="center"/>
        <w:rPr>
          <w:sz w:val="22"/>
          <w:szCs w:val="22"/>
        </w:rPr>
      </w:pPr>
      <w:proofErr w:type="spellStart"/>
      <w:r w:rsidRPr="00F17BA3">
        <w:rPr>
          <w:rFonts w:ascii="Arial" w:hAnsi="Arial" w:cs="Arial"/>
          <w:sz w:val="22"/>
          <w:szCs w:val="22"/>
        </w:rPr>
        <w:t>Admira</w:t>
      </w:r>
      <w:proofErr w:type="spellEnd"/>
      <w:r w:rsidRPr="00F17BA3">
        <w:rPr>
          <w:rFonts w:ascii="Arial" w:hAnsi="Arial" w:cs="Arial"/>
          <w:sz w:val="22"/>
          <w:szCs w:val="22"/>
        </w:rPr>
        <w:t xml:space="preserve"> Ribičić</w:t>
      </w:r>
      <w:r w:rsidR="00931CA8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sectPr w:rsidR="001A6B4E" w:rsidRPr="00F17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1" w:rsidRDefault="005F7FB1" w:rsidP="005F7FB1">
      <w:r>
        <w:separator/>
      </w:r>
    </w:p>
  </w:endnote>
  <w:endnote w:type="continuationSeparator" w:id="0">
    <w:p w:rsidR="005F7FB1" w:rsidRDefault="005F7FB1" w:rsidP="005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162310"/>
      <w:docPartObj>
        <w:docPartGallery w:val="Page Numbers (Bottom of Page)"/>
        <w:docPartUnique/>
      </w:docPartObj>
    </w:sdtPr>
    <w:sdtEndPr/>
    <w:sdtContent>
      <w:p w:rsidR="005F7FB1" w:rsidRDefault="005F7F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CA8">
          <w:rPr>
            <w:noProof/>
          </w:rPr>
          <w:t>2</w:t>
        </w:r>
        <w:r>
          <w:fldChar w:fldCharType="end"/>
        </w:r>
      </w:p>
    </w:sdtContent>
  </w:sdt>
  <w:p w:rsidR="005F7FB1" w:rsidRDefault="005F7F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1" w:rsidRDefault="005F7FB1" w:rsidP="005F7FB1">
      <w:r>
        <w:separator/>
      </w:r>
    </w:p>
  </w:footnote>
  <w:footnote w:type="continuationSeparator" w:id="0">
    <w:p w:rsidR="005F7FB1" w:rsidRDefault="005F7FB1" w:rsidP="005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0A0647"/>
    <w:rsid w:val="001470B5"/>
    <w:rsid w:val="001A6B4E"/>
    <w:rsid w:val="00382DBA"/>
    <w:rsid w:val="005E16AC"/>
    <w:rsid w:val="005F7FB1"/>
    <w:rsid w:val="006B36D5"/>
    <w:rsid w:val="007323CF"/>
    <w:rsid w:val="00771B20"/>
    <w:rsid w:val="00844E40"/>
    <w:rsid w:val="008635F3"/>
    <w:rsid w:val="008D48A3"/>
    <w:rsid w:val="00931CA8"/>
    <w:rsid w:val="00A1169B"/>
    <w:rsid w:val="00A27CA1"/>
    <w:rsid w:val="00B62B51"/>
    <w:rsid w:val="00CD7E70"/>
    <w:rsid w:val="00D76C76"/>
    <w:rsid w:val="00D81FF6"/>
    <w:rsid w:val="00F17BA3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7F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7F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F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F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7F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7F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F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F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8</cp:revision>
  <dcterms:created xsi:type="dcterms:W3CDTF">2012-11-29T16:05:00Z</dcterms:created>
  <dcterms:modified xsi:type="dcterms:W3CDTF">2012-12-04T10:49:00Z</dcterms:modified>
</cp:coreProperties>
</file>